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5DFCC" w14:textId="77777777" w:rsidR="00A12CBD" w:rsidRDefault="00A12CBD" w:rsidP="00A12CBD">
      <w:pPr>
        <w:jc w:val="center"/>
        <w:rPr>
          <w:lang w:val="en-US"/>
        </w:rPr>
      </w:pPr>
      <w:bookmarkStart w:id="0" w:name="_GoBack"/>
      <w:bookmarkEnd w:id="0"/>
    </w:p>
    <w:p w14:paraId="788B62B0" w14:textId="77777777" w:rsidR="00A12CBD" w:rsidRDefault="00A12CBD" w:rsidP="00A12CBD">
      <w:pPr>
        <w:jc w:val="center"/>
        <w:rPr>
          <w:lang w:val="en-US"/>
        </w:rPr>
      </w:pPr>
    </w:p>
    <w:p w14:paraId="77763658" w14:textId="77777777" w:rsidR="00A12CBD" w:rsidRDefault="00A12CBD" w:rsidP="00A12CBD">
      <w:pPr>
        <w:jc w:val="center"/>
        <w:rPr>
          <w:lang w:val="en-US"/>
        </w:rPr>
      </w:pPr>
    </w:p>
    <w:p w14:paraId="324B60F9" w14:textId="77777777" w:rsidR="00A12CBD" w:rsidRDefault="00A12CBD" w:rsidP="00A12CBD">
      <w:pPr>
        <w:jc w:val="center"/>
        <w:rPr>
          <w:lang w:val="en-US"/>
        </w:rPr>
      </w:pPr>
    </w:p>
    <w:p w14:paraId="2DB0A46B" w14:textId="77777777" w:rsidR="00A12CBD" w:rsidRDefault="00A12CBD" w:rsidP="00A12CBD">
      <w:pPr>
        <w:jc w:val="center"/>
        <w:rPr>
          <w:lang w:val="en-US"/>
        </w:rPr>
      </w:pPr>
    </w:p>
    <w:p w14:paraId="5FF77851" w14:textId="77777777" w:rsidR="00A12CBD" w:rsidRDefault="00A12CBD" w:rsidP="00A12CBD">
      <w:pPr>
        <w:jc w:val="center"/>
        <w:rPr>
          <w:lang w:val="en-US"/>
        </w:rPr>
      </w:pPr>
    </w:p>
    <w:p w14:paraId="417AF6E3" w14:textId="77777777" w:rsidR="00A12CBD" w:rsidRDefault="00A12CBD" w:rsidP="00A12CBD">
      <w:pPr>
        <w:jc w:val="center"/>
        <w:rPr>
          <w:lang w:val="en-US"/>
        </w:rPr>
      </w:pPr>
    </w:p>
    <w:p w14:paraId="2B700BAE" w14:textId="77777777" w:rsidR="00A12CBD" w:rsidRDefault="00A12CBD" w:rsidP="00A12CBD">
      <w:pPr>
        <w:jc w:val="center"/>
        <w:rPr>
          <w:lang w:val="en-US"/>
        </w:rPr>
      </w:pPr>
    </w:p>
    <w:p w14:paraId="47C8FCC6" w14:textId="77777777" w:rsidR="00A12CBD" w:rsidRDefault="00A12CBD" w:rsidP="00A12CBD">
      <w:pPr>
        <w:jc w:val="center"/>
        <w:rPr>
          <w:lang w:val="en-US"/>
        </w:rPr>
      </w:pPr>
    </w:p>
    <w:p w14:paraId="0C17C589" w14:textId="77777777" w:rsidR="00A12CBD" w:rsidRDefault="00A12CBD" w:rsidP="00A12CBD">
      <w:pPr>
        <w:jc w:val="center"/>
        <w:rPr>
          <w:lang w:val="en-US"/>
        </w:rPr>
      </w:pPr>
    </w:p>
    <w:p w14:paraId="6B615A6B" w14:textId="77777777" w:rsidR="00A12CBD" w:rsidRDefault="00A12CBD" w:rsidP="00A12CBD">
      <w:pPr>
        <w:jc w:val="center"/>
        <w:rPr>
          <w:lang w:val="en-US"/>
        </w:rPr>
      </w:pPr>
    </w:p>
    <w:p w14:paraId="163E7766" w14:textId="77777777" w:rsidR="00A12CBD" w:rsidRDefault="00A12CBD" w:rsidP="00A12CBD">
      <w:pPr>
        <w:jc w:val="center"/>
        <w:rPr>
          <w:lang w:val="en-US"/>
        </w:rPr>
      </w:pPr>
    </w:p>
    <w:p w14:paraId="105A80E7" w14:textId="7B0FD25D" w:rsidR="00A12CBD" w:rsidRDefault="00A12CBD" w:rsidP="00A12CBD">
      <w:pPr>
        <w:jc w:val="center"/>
        <w:rPr>
          <w:lang w:val="en-US"/>
        </w:rPr>
      </w:pPr>
    </w:p>
    <w:p w14:paraId="29063FAF" w14:textId="77777777" w:rsidR="00A12CBD" w:rsidRDefault="00A12CBD" w:rsidP="00A12CBD">
      <w:pPr>
        <w:jc w:val="center"/>
        <w:rPr>
          <w:lang w:val="en-US"/>
        </w:rPr>
      </w:pPr>
    </w:p>
    <w:p w14:paraId="4FE36C71" w14:textId="3FB4A63E" w:rsidR="00A12CBD" w:rsidRDefault="00416A0C" w:rsidP="00A12CBD">
      <w:pPr>
        <w:jc w:val="center"/>
        <w:rPr>
          <w:lang w:val="en-US"/>
        </w:rPr>
      </w:pPr>
      <w:r w:rsidRPr="00A12CBD">
        <w:rPr>
          <w:lang w:val="en-US"/>
        </w:rPr>
        <w:t>The risk of Vicarious Trauma</w:t>
      </w:r>
    </w:p>
    <w:p w14:paraId="7B337D16" w14:textId="3A24FBFF" w:rsidR="00A12CBD" w:rsidRDefault="00416A0C" w:rsidP="00A12CBD">
      <w:pPr>
        <w:jc w:val="center"/>
        <w:rPr>
          <w:lang w:val="en-US"/>
        </w:rPr>
      </w:pPr>
      <w:r>
        <w:rPr>
          <w:lang w:val="en-US"/>
        </w:rPr>
        <w:t>Name</w:t>
      </w:r>
    </w:p>
    <w:p w14:paraId="6A3111D2" w14:textId="6FC5E6D3" w:rsidR="00A12CBD" w:rsidRDefault="00416A0C" w:rsidP="00A12CBD">
      <w:pPr>
        <w:jc w:val="center"/>
        <w:rPr>
          <w:lang w:val="en-US"/>
        </w:rPr>
      </w:pPr>
      <w:r>
        <w:rPr>
          <w:lang w:val="en-US"/>
        </w:rPr>
        <w:t>Institution</w:t>
      </w:r>
    </w:p>
    <w:p w14:paraId="16352D15" w14:textId="110F3EFF" w:rsidR="00A12CBD" w:rsidRDefault="00A12CBD" w:rsidP="00A12CBD">
      <w:pPr>
        <w:jc w:val="center"/>
        <w:rPr>
          <w:lang w:val="en-US"/>
        </w:rPr>
      </w:pPr>
    </w:p>
    <w:p w14:paraId="10F0713D" w14:textId="7334F844" w:rsidR="00A12CBD" w:rsidRDefault="00A12CBD" w:rsidP="00A12CBD">
      <w:pPr>
        <w:jc w:val="center"/>
        <w:rPr>
          <w:lang w:val="en-US"/>
        </w:rPr>
      </w:pPr>
    </w:p>
    <w:p w14:paraId="52253101" w14:textId="77D5C734" w:rsidR="00A12CBD" w:rsidRDefault="00A12CBD" w:rsidP="00A12CBD">
      <w:pPr>
        <w:jc w:val="center"/>
        <w:rPr>
          <w:lang w:val="en-US"/>
        </w:rPr>
      </w:pPr>
    </w:p>
    <w:p w14:paraId="5F481FE8" w14:textId="6CFCF799" w:rsidR="00A12CBD" w:rsidRDefault="00A12CBD" w:rsidP="00A12CBD">
      <w:pPr>
        <w:jc w:val="center"/>
        <w:rPr>
          <w:lang w:val="en-US"/>
        </w:rPr>
      </w:pPr>
    </w:p>
    <w:p w14:paraId="3FB38D23" w14:textId="663A488F" w:rsidR="00A12CBD" w:rsidRDefault="00A12CBD" w:rsidP="00A12CBD">
      <w:pPr>
        <w:jc w:val="center"/>
        <w:rPr>
          <w:lang w:val="en-US"/>
        </w:rPr>
      </w:pPr>
    </w:p>
    <w:p w14:paraId="64FE95C6" w14:textId="15C4C87D" w:rsidR="00A12CBD" w:rsidRDefault="00A12CBD" w:rsidP="00A12CBD">
      <w:pPr>
        <w:jc w:val="center"/>
        <w:rPr>
          <w:lang w:val="en-US"/>
        </w:rPr>
      </w:pPr>
    </w:p>
    <w:p w14:paraId="394C2B0B" w14:textId="3A1C1159" w:rsidR="00A12CBD" w:rsidRDefault="00A12CBD" w:rsidP="00A12CBD">
      <w:pPr>
        <w:jc w:val="center"/>
        <w:rPr>
          <w:lang w:val="en-US"/>
        </w:rPr>
      </w:pPr>
    </w:p>
    <w:p w14:paraId="61D260B1" w14:textId="5ED44C94" w:rsidR="00A12CBD" w:rsidRDefault="00A12CBD" w:rsidP="00A12CBD">
      <w:pPr>
        <w:jc w:val="center"/>
        <w:rPr>
          <w:lang w:val="en-US"/>
        </w:rPr>
      </w:pPr>
    </w:p>
    <w:p w14:paraId="118AA149" w14:textId="0E5A26FE" w:rsidR="00A12CBD" w:rsidRDefault="00A12CBD" w:rsidP="00A12CBD">
      <w:pPr>
        <w:jc w:val="center"/>
        <w:rPr>
          <w:lang w:val="en-US"/>
        </w:rPr>
      </w:pPr>
    </w:p>
    <w:p w14:paraId="33969DF7" w14:textId="3436CF58" w:rsidR="00A12CBD" w:rsidRDefault="00A12CBD" w:rsidP="00A12CBD">
      <w:pPr>
        <w:jc w:val="center"/>
        <w:rPr>
          <w:lang w:val="en-US"/>
        </w:rPr>
      </w:pPr>
    </w:p>
    <w:p w14:paraId="35BD28CE" w14:textId="34D32567" w:rsidR="00A12CBD" w:rsidRDefault="00A12CBD" w:rsidP="00A12CBD">
      <w:pPr>
        <w:jc w:val="center"/>
        <w:rPr>
          <w:lang w:val="en-US"/>
        </w:rPr>
      </w:pPr>
    </w:p>
    <w:p w14:paraId="234EAD99" w14:textId="77777777" w:rsidR="00A12CBD" w:rsidRDefault="00A12CBD" w:rsidP="00A12CBD">
      <w:pPr>
        <w:jc w:val="center"/>
        <w:rPr>
          <w:lang w:val="en-US"/>
        </w:rPr>
      </w:pPr>
    </w:p>
    <w:p w14:paraId="340F7AA1" w14:textId="77777777" w:rsidR="00A12CBD" w:rsidRDefault="00A12CBD">
      <w:pPr>
        <w:rPr>
          <w:lang w:val="en-US"/>
        </w:rPr>
      </w:pPr>
    </w:p>
    <w:p w14:paraId="447BE587" w14:textId="1D90B790" w:rsidR="00A12CBD" w:rsidRDefault="00416A0C" w:rsidP="00A12CBD">
      <w:pPr>
        <w:spacing w:line="480" w:lineRule="auto"/>
        <w:jc w:val="both"/>
        <w:rPr>
          <w:lang w:val="en-US"/>
        </w:rPr>
      </w:pPr>
      <w:r>
        <w:rPr>
          <w:lang w:val="en-US"/>
        </w:rPr>
        <w:lastRenderedPageBreak/>
        <w:t>R</w:t>
      </w:r>
      <w:r w:rsidRPr="00A12CBD">
        <w:rPr>
          <w:lang w:val="en-US"/>
        </w:rPr>
        <w:t>esults of the ProQOL 5</w:t>
      </w:r>
    </w:p>
    <w:p w14:paraId="27D63246" w14:textId="4E91A536" w:rsidR="00FD579E" w:rsidRDefault="00416A0C" w:rsidP="00A12CBD">
      <w:pPr>
        <w:spacing w:line="480" w:lineRule="auto"/>
        <w:ind w:firstLine="720"/>
        <w:jc w:val="both"/>
        <w:rPr>
          <w:lang w:val="en-US"/>
        </w:rPr>
      </w:pPr>
      <w:r>
        <w:rPr>
          <w:lang w:val="en-US"/>
        </w:rPr>
        <w:t>The results as obtained in the</w:t>
      </w:r>
      <w:r w:rsidRPr="00C44069">
        <w:rPr>
          <w:lang w:val="en-US"/>
        </w:rPr>
        <w:t xml:space="preserve"> Professional Quality of Life Scale</w:t>
      </w:r>
      <w:r>
        <w:rPr>
          <w:lang w:val="en-US"/>
        </w:rPr>
        <w:t xml:space="preserve"> has provided a different emphasis on essential elements which help define critical processes based on individual response. The identification of aspects within life development offers a unique focus on significant changes which help improve my understanding of emotional development. Compassion satisfaction outline critical processes which provide a strong basis under which it more comfortable to relate to different activities that define an individual development. Dealing with various situations require a unique emphasis on significant changes which help identify necessary changes which help improve individual development. Being able to understand different individuals provide a unique focus on necessary changes which can help create a unique focus on a higher level of development</w:t>
      </w:r>
      <w:r w:rsidR="00203CE0">
        <w:rPr>
          <w:lang w:val="en-US"/>
        </w:rPr>
        <w:t xml:space="preserve"> (</w:t>
      </w:r>
      <w:r w:rsidR="00203CE0" w:rsidRPr="00203CE0">
        <w:rPr>
          <w:lang w:val="en-US"/>
        </w:rPr>
        <w:t>Izzo</w:t>
      </w:r>
      <w:r w:rsidR="00A12CBD">
        <w:rPr>
          <w:lang w:val="en-US"/>
        </w:rPr>
        <w:t xml:space="preserve"> &amp;</w:t>
      </w:r>
      <w:r w:rsidR="00203CE0" w:rsidRPr="00203CE0">
        <w:rPr>
          <w:lang w:val="en-US"/>
        </w:rPr>
        <w:t xml:space="preserve"> Carpel Miller, 2009). </w:t>
      </w:r>
    </w:p>
    <w:p w14:paraId="35AFDA5F" w14:textId="7D8E4548" w:rsidR="00C44069" w:rsidRDefault="00416A0C" w:rsidP="00A12CBD">
      <w:pPr>
        <w:spacing w:line="480" w:lineRule="auto"/>
        <w:ind w:firstLine="720"/>
        <w:jc w:val="both"/>
        <w:rPr>
          <w:lang w:val="en-US"/>
        </w:rPr>
      </w:pPr>
      <w:r>
        <w:rPr>
          <w:lang w:val="en-US"/>
        </w:rPr>
        <w:t xml:space="preserve">Compassion fatigue is detrimental to the underlying issues, which created a </w:t>
      </w:r>
      <w:r w:rsidR="00C806DF">
        <w:rPr>
          <w:lang w:val="en-US"/>
        </w:rPr>
        <w:t>greater</w:t>
      </w:r>
      <w:r>
        <w:rPr>
          <w:lang w:val="en-US"/>
        </w:rPr>
        <w:t xml:space="preserve"> emphasis on significant development. Maintaining a greater understanding of how to respond to different situations provide a unique focus under which there is a strong emphasis on </w:t>
      </w:r>
      <w:r w:rsidR="00C806DF">
        <w:rPr>
          <w:lang w:val="en-US"/>
        </w:rPr>
        <w:t>critical underlying factors. Maintaining an exceptional level of development defines essential concepts which can help create a highly successful organizational development. The individual response to different issues defines burnout and secondary trauma. Secondary trauma is more likely based on the outcomes from the scale, which provide a unique evaluation of necessary changes which define an improved level of development</w:t>
      </w:r>
      <w:r w:rsidR="00A12CBD">
        <w:rPr>
          <w:lang w:val="en-US"/>
        </w:rPr>
        <w:t xml:space="preserve"> </w:t>
      </w:r>
      <w:r w:rsidR="00A12CBD" w:rsidRPr="00A12CBD">
        <w:rPr>
          <w:lang w:val="en-US"/>
        </w:rPr>
        <w:t>(</w:t>
      </w:r>
      <w:r w:rsidR="00A12CBD" w:rsidRPr="00A12CBD">
        <w:t>Thompson</w:t>
      </w:r>
      <w:r w:rsidR="00A12CBD" w:rsidRPr="00A12CBD">
        <w:rPr>
          <w:lang w:val="en-US"/>
        </w:rPr>
        <w:t xml:space="preserve"> et al., 2014).</w:t>
      </w:r>
    </w:p>
    <w:p w14:paraId="01F8E1EE" w14:textId="189737E8" w:rsidR="00C806DF" w:rsidRDefault="00416A0C" w:rsidP="00A12CBD">
      <w:pPr>
        <w:spacing w:line="480" w:lineRule="auto"/>
        <w:jc w:val="both"/>
        <w:rPr>
          <w:lang w:val="en-US"/>
        </w:rPr>
      </w:pPr>
      <w:r>
        <w:rPr>
          <w:lang w:val="en-US"/>
        </w:rPr>
        <w:t>T</w:t>
      </w:r>
      <w:r w:rsidRPr="00A12CBD">
        <w:rPr>
          <w:lang w:val="en-US"/>
        </w:rPr>
        <w:t>wo areas you need to develop further to address or prevent vicarious trauma and explain why you selected each</w:t>
      </w:r>
    </w:p>
    <w:p w14:paraId="4C47F6DB" w14:textId="4900EE02" w:rsidR="00C806DF" w:rsidRDefault="00416A0C" w:rsidP="00A12CBD">
      <w:pPr>
        <w:spacing w:line="480" w:lineRule="auto"/>
        <w:ind w:firstLine="720"/>
        <w:jc w:val="both"/>
        <w:rPr>
          <w:lang w:val="en-US"/>
        </w:rPr>
      </w:pPr>
      <w:r>
        <w:rPr>
          <w:lang w:val="en-US"/>
        </w:rPr>
        <w:t xml:space="preserve">Preventing vicarious trauma is crucial in leading a positive life, which is a critical thing that helps define a strong level of focus on underlying aspects. Therefore to prevent vicarious trauma, I need to control my behavior and emotions.  Vicarious trauma develops as a result of </w:t>
      </w:r>
      <w:r>
        <w:rPr>
          <w:lang w:val="en-US"/>
        </w:rPr>
        <w:lastRenderedPageBreak/>
        <w:t>strong emotional attachment, which is difficult to manage, primarily when focusing on the underlying needs which explain the needs of a client. Being influenced easily while undertaking a counseling session is based on the mental strength which provides a unique evaluation of critical processes which help identify important aspects which improve individual development. Therefore controlling emotions and how I react to different traumatic experiences as narrated by clients will provide a strong emphasis on critical changes which help provide a substantial level of development. Maintaining a specific level of development identify a significant change which helps outline crucial aspects which define a strong level of development</w:t>
      </w:r>
      <w:r w:rsidR="00203CE0">
        <w:rPr>
          <w:lang w:val="en-US"/>
        </w:rPr>
        <w:t xml:space="preserve"> (</w:t>
      </w:r>
      <w:r w:rsidR="00203CE0" w:rsidRPr="00203CE0">
        <w:t>Ledoux, 2015).</w:t>
      </w:r>
    </w:p>
    <w:p w14:paraId="37ADA66E" w14:textId="09DE560F" w:rsidR="00C806DF" w:rsidRDefault="00416A0C" w:rsidP="00A12CBD">
      <w:pPr>
        <w:spacing w:line="480" w:lineRule="auto"/>
        <w:ind w:firstLine="720"/>
        <w:jc w:val="both"/>
        <w:rPr>
          <w:lang w:val="en-US"/>
        </w:rPr>
      </w:pPr>
      <w:r>
        <w:rPr>
          <w:lang w:val="en-US"/>
        </w:rPr>
        <w:t>Behavioral development is based on individual interaction as well as the underlying values and principles which define the level of development based on the underlying issues. It is vital to concentrate on the rules and guidelines which define counselo</w:t>
      </w:r>
      <w:r w:rsidR="00850A75">
        <w:rPr>
          <w:lang w:val="en-US"/>
        </w:rPr>
        <w:t>r engagement, which is a critical aspect that should establish a strong level of engagement. Keeping a strong level of focus on the influence of client situation provide a unique basis under which it is easier to attain a better standard of development.</w:t>
      </w:r>
    </w:p>
    <w:p w14:paraId="23392B9D" w14:textId="6ADBB5E7" w:rsidR="00A12CBD" w:rsidRPr="00A12CBD" w:rsidRDefault="00416A0C" w:rsidP="00A12CBD">
      <w:pPr>
        <w:spacing w:line="480" w:lineRule="auto"/>
        <w:jc w:val="both"/>
        <w:rPr>
          <w:lang w:val="en-US"/>
        </w:rPr>
      </w:pPr>
      <w:r>
        <w:rPr>
          <w:lang w:val="en-US"/>
        </w:rPr>
        <w:t>J</w:t>
      </w:r>
      <w:r w:rsidRPr="00A12CBD">
        <w:rPr>
          <w:lang w:val="en-US"/>
        </w:rPr>
        <w:t>ustif</w:t>
      </w:r>
      <w:r>
        <w:rPr>
          <w:lang w:val="en-US"/>
        </w:rPr>
        <w:t>ication of</w:t>
      </w:r>
      <w:r w:rsidRPr="00A12CBD">
        <w:rPr>
          <w:lang w:val="en-US"/>
        </w:rPr>
        <w:t xml:space="preserve"> two strategies you would use to develop those areas.</w:t>
      </w:r>
    </w:p>
    <w:p w14:paraId="6D16AC79" w14:textId="01A60084" w:rsidR="00850A75" w:rsidRPr="00A12CBD" w:rsidRDefault="00416A0C" w:rsidP="00A12CBD">
      <w:pPr>
        <w:spacing w:line="480" w:lineRule="auto"/>
        <w:ind w:firstLine="720"/>
        <w:jc w:val="both"/>
        <w:rPr>
          <w:lang w:val="en-US"/>
        </w:rPr>
      </w:pPr>
      <w:r>
        <w:rPr>
          <w:lang w:val="en-US"/>
        </w:rPr>
        <w:t>The current literature provides different aspects which help maintain a healthy level of development under which it is possible to maintain a unique level of development. The integration of the cognitive behavioral approach provides a crucial strategy which can help in improving both behavior and emotional wellbeing. Cognitive behavioral intervention identifies risk factors that negatively influence individual behavior and give a persuasive outline which provides a unique level of development. It emphasizes focusing on positive aspects which define individual development. Maintaining a strong emotional wellbeing help improve mental state, which is crucial and help attain the desired outcomes</w:t>
      </w:r>
      <w:r w:rsidR="00A12CBD">
        <w:rPr>
          <w:lang w:val="en-US"/>
        </w:rPr>
        <w:t xml:space="preserve"> (</w:t>
      </w:r>
      <w:r w:rsidR="00A12CBD" w:rsidRPr="00A12CBD">
        <w:t>Hernandez-Wolfe</w:t>
      </w:r>
      <w:r w:rsidR="00A12CBD">
        <w:rPr>
          <w:lang w:val="en-US"/>
        </w:rPr>
        <w:t xml:space="preserve"> et al., 2015).</w:t>
      </w:r>
    </w:p>
    <w:p w14:paraId="052AEE02" w14:textId="1FA488FC" w:rsidR="00850A75" w:rsidRPr="00A12CBD" w:rsidRDefault="00416A0C" w:rsidP="00A12CBD">
      <w:pPr>
        <w:spacing w:line="480" w:lineRule="auto"/>
        <w:ind w:left="60" w:firstLine="660"/>
        <w:jc w:val="both"/>
        <w:rPr>
          <w:lang w:val="en-US"/>
        </w:rPr>
      </w:pPr>
      <w:r>
        <w:rPr>
          <w:lang w:val="en-US"/>
        </w:rPr>
        <w:lastRenderedPageBreak/>
        <w:t>A</w:t>
      </w:r>
      <w:r w:rsidRPr="00850A75">
        <w:rPr>
          <w:lang w:val="en-US"/>
        </w:rPr>
        <w:t>ttention and perception play a very crucial role in defining the reaction of an individual. The difference in response to the same thing is mainly explained by the difference in attention, which influences the perception and thus creating a varied environment in the reaction process of a given aspect.</w:t>
      </w:r>
      <w:r>
        <w:rPr>
          <w:lang w:val="en-US"/>
        </w:rPr>
        <w:t xml:space="preserve"> These are essential aspects that help improve an individual level of development. Controlling various trauma is based on the ability of a counselor to separate personal feelings and professional engagement</w:t>
      </w:r>
      <w:r w:rsidR="00A12CBD">
        <w:rPr>
          <w:lang w:val="en-US"/>
        </w:rPr>
        <w:t xml:space="preserve"> (</w:t>
      </w:r>
      <w:r w:rsidR="00A12CBD" w:rsidRPr="00A12CBD">
        <w:t>Thompson</w:t>
      </w:r>
      <w:r w:rsidR="00A12CBD">
        <w:rPr>
          <w:lang w:val="en-US"/>
        </w:rPr>
        <w:t xml:space="preserve"> et al., 2014).</w:t>
      </w:r>
    </w:p>
    <w:p w14:paraId="3352CE5F" w14:textId="054C0414" w:rsidR="00850A75" w:rsidRDefault="00416A0C" w:rsidP="00A12CBD">
      <w:pPr>
        <w:spacing w:line="480" w:lineRule="auto"/>
        <w:ind w:firstLine="60"/>
        <w:jc w:val="both"/>
        <w:rPr>
          <w:lang w:val="en-US"/>
        </w:rPr>
      </w:pPr>
      <w:r>
        <w:rPr>
          <w:lang w:val="en-US"/>
        </w:rPr>
        <w:t>Controlled empathy identify critical issues which are likely to influence individual development, although it creates a different level of focus on underlying issues. Maintaining a strong level of development. A strong emphasis on professional engagement creates a unique focus on essential processes which are crucial and help identify necessary changes which define individual deve</w:t>
      </w:r>
      <w:r w:rsidR="00203CE0">
        <w:rPr>
          <w:lang w:val="en-US"/>
        </w:rPr>
        <w:t xml:space="preserve">lopment. Empathy creates a strong connection between a client and a counselor which necessitate the development of vicarious trauma. Therefore controlled empathy help identify crucial changes which are essentially creating a strong commitment to the underlying differences. Emotions and behavior play an important role in limiting the influence of empathy when making clinical judgment.  A counselor must operate based on professional guidelines which emphasize on controlled </w:t>
      </w:r>
      <w:r w:rsidR="00A12CBD">
        <w:rPr>
          <w:lang w:val="en-US"/>
        </w:rPr>
        <w:t xml:space="preserve">understanding </w:t>
      </w:r>
      <w:r w:rsidR="00A12CBD" w:rsidRPr="00A12CBD">
        <w:rPr>
          <w:lang w:val="en-US"/>
        </w:rPr>
        <w:t>(Izzo &amp; Carpel Miller, 2009). </w:t>
      </w:r>
    </w:p>
    <w:p w14:paraId="0D51B66E" w14:textId="12D05887" w:rsidR="00203CE0" w:rsidRDefault="00203CE0">
      <w:pPr>
        <w:rPr>
          <w:lang w:val="en-US"/>
        </w:rPr>
      </w:pPr>
    </w:p>
    <w:p w14:paraId="5DE10038" w14:textId="06B96725" w:rsidR="00203CE0" w:rsidRDefault="00203CE0">
      <w:pPr>
        <w:rPr>
          <w:lang w:val="en-US"/>
        </w:rPr>
      </w:pPr>
    </w:p>
    <w:p w14:paraId="11B6B862" w14:textId="29CC3516" w:rsidR="00A12CBD" w:rsidRDefault="00A12CBD">
      <w:pPr>
        <w:rPr>
          <w:lang w:val="en-US"/>
        </w:rPr>
      </w:pPr>
    </w:p>
    <w:p w14:paraId="1A1D4A49" w14:textId="70B79C52" w:rsidR="00A12CBD" w:rsidRDefault="00A12CBD">
      <w:pPr>
        <w:rPr>
          <w:lang w:val="en-US"/>
        </w:rPr>
      </w:pPr>
    </w:p>
    <w:p w14:paraId="4EF4F2C5" w14:textId="26124882" w:rsidR="00A12CBD" w:rsidRDefault="00A12CBD">
      <w:pPr>
        <w:rPr>
          <w:lang w:val="en-US"/>
        </w:rPr>
      </w:pPr>
    </w:p>
    <w:p w14:paraId="26746E02" w14:textId="5BAD00D7" w:rsidR="00A12CBD" w:rsidRDefault="00A12CBD">
      <w:pPr>
        <w:rPr>
          <w:lang w:val="en-US"/>
        </w:rPr>
      </w:pPr>
    </w:p>
    <w:p w14:paraId="17062833" w14:textId="6240FC2D" w:rsidR="00A12CBD" w:rsidRDefault="00A12CBD">
      <w:pPr>
        <w:rPr>
          <w:lang w:val="en-US"/>
        </w:rPr>
      </w:pPr>
    </w:p>
    <w:p w14:paraId="72172768" w14:textId="7D4FB18B" w:rsidR="00A12CBD" w:rsidRDefault="00A12CBD">
      <w:pPr>
        <w:rPr>
          <w:lang w:val="en-US"/>
        </w:rPr>
      </w:pPr>
    </w:p>
    <w:p w14:paraId="755B2FEF" w14:textId="464AC934" w:rsidR="00A12CBD" w:rsidRDefault="00A12CBD">
      <w:pPr>
        <w:rPr>
          <w:lang w:val="en-US"/>
        </w:rPr>
      </w:pPr>
    </w:p>
    <w:p w14:paraId="3E15A097" w14:textId="77777777" w:rsidR="00A12CBD" w:rsidRDefault="00A12CBD">
      <w:pPr>
        <w:rPr>
          <w:lang w:val="en-US"/>
        </w:rPr>
      </w:pPr>
    </w:p>
    <w:p w14:paraId="6C2C9CCB" w14:textId="5EBE8C62" w:rsidR="00203CE0" w:rsidRDefault="00416A0C" w:rsidP="00A12CBD">
      <w:pPr>
        <w:jc w:val="center"/>
        <w:rPr>
          <w:lang w:val="en-US"/>
        </w:rPr>
      </w:pPr>
      <w:r>
        <w:rPr>
          <w:lang w:val="en-US"/>
        </w:rPr>
        <w:lastRenderedPageBreak/>
        <w:t>References</w:t>
      </w:r>
    </w:p>
    <w:p w14:paraId="6DDD510C" w14:textId="697624D4" w:rsidR="00203CE0" w:rsidRPr="00A12CBD" w:rsidRDefault="00416A0C" w:rsidP="00A12CBD">
      <w:pPr>
        <w:spacing w:line="480" w:lineRule="auto"/>
        <w:ind w:left="720" w:hanging="720"/>
        <w:rPr>
          <w:lang w:val="en-US"/>
        </w:rPr>
      </w:pPr>
      <w:r w:rsidRPr="00A12CBD">
        <w:rPr>
          <w:lang w:val="en-US"/>
        </w:rPr>
        <w:t>Izzo, E. &amp; Carpel Miller, V. (2009). </w:t>
      </w:r>
      <w:r w:rsidRPr="00A12CBD">
        <w:rPr>
          <w:i/>
          <w:iCs/>
          <w:lang w:val="en-US"/>
        </w:rPr>
        <w:t>Vicarious Trauma: The Impact of Empathy</w:t>
      </w:r>
      <w:r w:rsidRPr="00A12CBD">
        <w:rPr>
          <w:lang w:val="en-US"/>
        </w:rPr>
        <w:t>. Retrieved from</w:t>
      </w:r>
      <w:hyperlink r:id="rId7" w:tgtFrame="_blank" w:history="1">
        <w:r w:rsidRPr="00A12CBD">
          <w:rPr>
            <w:rStyle w:val="Hyperlink"/>
            <w:color w:val="auto"/>
            <w:u w:val="none"/>
            <w:lang w:val="en-US"/>
          </w:rPr>
          <w:t>http://www.selfgrowth.com/articles/Vicarious_Trauma_The_Impact_of_Controlled_Empathy.html</w:t>
        </w:r>
      </w:hyperlink>
    </w:p>
    <w:p w14:paraId="746FC3DC" w14:textId="6071800E" w:rsidR="00203CE0" w:rsidRPr="00A12CBD" w:rsidRDefault="00416A0C" w:rsidP="00A12CBD">
      <w:pPr>
        <w:spacing w:line="480" w:lineRule="auto"/>
        <w:ind w:left="720" w:hanging="720"/>
      </w:pPr>
      <w:r w:rsidRPr="00A12CBD">
        <w:t>Ledoux, K. (2015). Understanding compassion fatigue: understanding compassion. </w:t>
      </w:r>
      <w:r w:rsidRPr="00A12CBD">
        <w:rPr>
          <w:i/>
          <w:iCs/>
        </w:rPr>
        <w:t>Journal of advanced nursing</w:t>
      </w:r>
      <w:r w:rsidRPr="00A12CBD">
        <w:t>, </w:t>
      </w:r>
      <w:r w:rsidRPr="00A12CBD">
        <w:rPr>
          <w:i/>
          <w:iCs/>
        </w:rPr>
        <w:t>71</w:t>
      </w:r>
      <w:r w:rsidRPr="00A12CBD">
        <w:t>(9), 2041-2050.</w:t>
      </w:r>
    </w:p>
    <w:p w14:paraId="7D4A7039" w14:textId="671844C3" w:rsidR="00203CE0" w:rsidRPr="00A12CBD" w:rsidRDefault="00416A0C" w:rsidP="00A12CBD">
      <w:pPr>
        <w:spacing w:line="480" w:lineRule="auto"/>
        <w:ind w:left="720" w:hanging="720"/>
      </w:pPr>
      <w:r w:rsidRPr="00A12CBD">
        <w:t>Thompson, I., Amatea, E., &amp; Thompson, E. (2014). Personal and contextual predictors of mental health counselors' compassion fatigue and burnout. </w:t>
      </w:r>
      <w:r w:rsidRPr="00A12CBD">
        <w:rPr>
          <w:i/>
          <w:iCs/>
        </w:rPr>
        <w:t>Journal of Mental Health Counseling</w:t>
      </w:r>
      <w:r w:rsidRPr="00A12CBD">
        <w:t>, </w:t>
      </w:r>
      <w:r w:rsidRPr="00A12CBD">
        <w:rPr>
          <w:i/>
          <w:iCs/>
        </w:rPr>
        <w:t>36</w:t>
      </w:r>
      <w:r w:rsidRPr="00A12CBD">
        <w:t>(1), 58-77.</w:t>
      </w:r>
    </w:p>
    <w:p w14:paraId="2912D7C4" w14:textId="32845F4D" w:rsidR="00A12CBD" w:rsidRPr="00A12CBD" w:rsidRDefault="00416A0C" w:rsidP="00A12CBD">
      <w:pPr>
        <w:spacing w:line="480" w:lineRule="auto"/>
        <w:ind w:left="720" w:hanging="720"/>
        <w:rPr>
          <w:lang w:val="en-US"/>
        </w:rPr>
      </w:pPr>
      <w:r w:rsidRPr="00A12CBD">
        <w:t>Hernandez-Wolfe, P., Killian, K., Engstrom, D., &amp; Gangsei, D. (2015). Vicarious resilience, vicarious trauma, and awareness of equity in trauma work. </w:t>
      </w:r>
      <w:r w:rsidRPr="00A12CBD">
        <w:rPr>
          <w:i/>
          <w:iCs/>
        </w:rPr>
        <w:t>Journal of Humanistic Psychology</w:t>
      </w:r>
      <w:r w:rsidRPr="00A12CBD">
        <w:t>, </w:t>
      </w:r>
      <w:r w:rsidRPr="00A12CBD">
        <w:rPr>
          <w:i/>
          <w:iCs/>
        </w:rPr>
        <w:t>55</w:t>
      </w:r>
      <w:r w:rsidRPr="00A12CBD">
        <w:t>(2), 153-172.</w:t>
      </w:r>
    </w:p>
    <w:sectPr w:rsidR="00A12CBD" w:rsidRPr="00A12CBD" w:rsidSect="00A12CB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50F3D0" w14:textId="77777777" w:rsidR="00AA08AA" w:rsidRDefault="00AA08AA">
      <w:pPr>
        <w:spacing w:after="0" w:line="240" w:lineRule="auto"/>
      </w:pPr>
      <w:r>
        <w:separator/>
      </w:r>
    </w:p>
  </w:endnote>
  <w:endnote w:type="continuationSeparator" w:id="0">
    <w:p w14:paraId="27A547E2" w14:textId="77777777" w:rsidR="00AA08AA" w:rsidRDefault="00AA0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18A65" w14:textId="77777777" w:rsidR="00AA08AA" w:rsidRDefault="00AA08AA">
      <w:pPr>
        <w:spacing w:after="0" w:line="240" w:lineRule="auto"/>
      </w:pPr>
      <w:r>
        <w:separator/>
      </w:r>
    </w:p>
  </w:footnote>
  <w:footnote w:type="continuationSeparator" w:id="0">
    <w:p w14:paraId="0F1F2DC6" w14:textId="77777777" w:rsidR="00AA08AA" w:rsidRDefault="00AA08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4C552" w14:textId="4B9710A9" w:rsidR="00A12CBD" w:rsidRDefault="00416A0C">
    <w:pPr>
      <w:pStyle w:val="Header"/>
      <w:jc w:val="right"/>
    </w:pPr>
    <w:r w:rsidRPr="00A12CBD">
      <w:rPr>
        <w:lang w:val="en-US"/>
      </w:rPr>
      <w:t xml:space="preserve">RISK FOR VICARIOUS TRAUMA  </w:t>
    </w:r>
    <w:r>
      <w:rPr>
        <w:lang w:val="en-US"/>
      </w:rPr>
      <w:t xml:space="preserve">                                                                                    </w:t>
    </w:r>
    <w:sdt>
      <w:sdtPr>
        <w:id w:val="1817837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9CBF38" w14:textId="77777777" w:rsidR="00A12CBD" w:rsidRDefault="00A12C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EC7FB" w14:textId="2CEEE7C8" w:rsidR="00A12CBD" w:rsidRDefault="00416A0C">
    <w:pPr>
      <w:pStyle w:val="Header"/>
      <w:jc w:val="right"/>
    </w:pPr>
    <w:r>
      <w:rPr>
        <w:lang w:val="en-US"/>
      </w:rPr>
      <w:t xml:space="preserve">Running head: </w:t>
    </w:r>
    <w:r w:rsidRPr="00A12CBD">
      <w:rPr>
        <w:lang w:val="en-US"/>
      </w:rPr>
      <w:t xml:space="preserve">RISK FOR VICARIOUS TRAUMA </w:t>
    </w:r>
    <w:r>
      <w:rPr>
        <w:lang w:val="en-US"/>
      </w:rPr>
      <w:t xml:space="preserve">                                                              </w:t>
    </w:r>
    <w:sdt>
      <w:sdtPr>
        <w:id w:val="5747828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B577898" w14:textId="77777777" w:rsidR="00A12CBD" w:rsidRDefault="00A12C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11054"/>
    <w:multiLevelType w:val="multilevel"/>
    <w:tmpl w:val="3DE2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yNzexMDYzMzY0sTRU0lEKTi0uzszPAykwrAUAkVEdYywAAAA="/>
  </w:docVars>
  <w:rsids>
    <w:rsidRoot w:val="00C44069"/>
    <w:rsid w:val="00203CE0"/>
    <w:rsid w:val="00317E07"/>
    <w:rsid w:val="00343047"/>
    <w:rsid w:val="00416A0C"/>
    <w:rsid w:val="00850A75"/>
    <w:rsid w:val="00A12CBD"/>
    <w:rsid w:val="00AA08AA"/>
    <w:rsid w:val="00C44069"/>
    <w:rsid w:val="00C806DF"/>
    <w:rsid w:val="00EF3AEF"/>
    <w:rsid w:val="00FD579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2ED609-08E0-4359-ABE0-A8A3E97D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4069"/>
    <w:rPr>
      <w:color w:val="0563C1" w:themeColor="hyperlink"/>
      <w:u w:val="single"/>
    </w:rPr>
  </w:style>
  <w:style w:type="character" w:customStyle="1" w:styleId="UnresolvedMention1">
    <w:name w:val="Unresolved Mention1"/>
    <w:basedOn w:val="DefaultParagraphFont"/>
    <w:uiPriority w:val="99"/>
    <w:semiHidden/>
    <w:unhideWhenUsed/>
    <w:rsid w:val="00C44069"/>
    <w:rPr>
      <w:color w:val="605E5C"/>
      <w:shd w:val="clear" w:color="auto" w:fill="E1DFDD"/>
    </w:rPr>
  </w:style>
  <w:style w:type="paragraph" w:styleId="Header">
    <w:name w:val="header"/>
    <w:basedOn w:val="Normal"/>
    <w:link w:val="HeaderChar"/>
    <w:uiPriority w:val="99"/>
    <w:unhideWhenUsed/>
    <w:rsid w:val="00A12C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CBD"/>
  </w:style>
  <w:style w:type="paragraph" w:styleId="Footer">
    <w:name w:val="footer"/>
    <w:basedOn w:val="Normal"/>
    <w:link w:val="FooterChar"/>
    <w:uiPriority w:val="99"/>
    <w:unhideWhenUsed/>
    <w:rsid w:val="00A12C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lfgrowth.com/articles/Vicarious_Trauma_The_Impact_of_Controlled_Empath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2019-06-06T06:51:00Z</dcterms:created>
  <dcterms:modified xsi:type="dcterms:W3CDTF">2019-06-06T06:51:00Z</dcterms:modified>
</cp:coreProperties>
</file>